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利用生物燃气为农户集中供气供暖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节能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模式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一、技术概述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  <w:t>（一）项目基本情况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河北安平县总面积505平方公里，耕地面积47万亩，是一个农业大县、生猪养殖大县，2018年出栏生猪82万头，年产黄杆总量15万吨、畜禽粪污102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万吨。农业生产过程中产生的大量农作物秸秆和畜禽粪污，是重要的具有巨大潜力的生物质资源。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某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生物能源科技公司通过畜禽粪污沼气发电、秸秆沼气提纯生物天然气项目、沼渣沼液生产有机肥项目、生物质热电联产项目，按照“废弃物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+清洁能源+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有机肥料”三位一体的技术路线，可对安平县畜禽养殖废弃物实现整县推进，农作物秸秆进行全量化利用。将养殖、沼气、沼渣、沼液和种植技术进行优化结合，做到资源多级利用，物质良性循环，形成没有污染的可持续发展的循环农业生态系统厌氧发酵制沼气，生物质直燃发电，城市集中供热，有机肥生产等产业，形成了完整的“气电热肥”联产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该模式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不仅能够提高畜禽养殖者经济收入、变废为宝，满足养殖户用能、用肥的需求，实现畜禽粪污的资源化和农作物秸秆全量化利用，提升畜禽养殖者、种植户积极性，而且能够促进农业和农村经济可持续发展，是贯彻落实生态文明建设、绿色发展理念的具体有效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  <w:t>（二）技术基本情况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畜禽粪污低浓度粪水高效产沼气技术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自主研发了“一种能够提高低浓度物料厌氧发酵效率的厌氧发酵系统”的专利技术，厌氧发酵菌捕捉回收，可有效解决低浓度的粪污制备沼气给养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殖场带来的“投资成本高、产气效率低、维护费用高、运行天数少”的难题。沼气容积产气率可达到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1.13Nm3/m3.d，经过净化增压后通过内燃机进行发电上网，发电效率42%以上，余热利用效率43%以上，项目的总体热效率达到了85%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以上。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农作物秸秆资源化利用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</w:rPr>
        <w:t>VPF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技术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竖向推流式秸秆厌氧消化技术采用中高温连续发酵工艺，原料一般为纯秸秆、稻草、植物茎叶等生物质，先经机械粉碎投入搅拌池配料，然后用泵打入发酵罐发酵，罐内物料浓度可达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15%以上，池容产气率高。采用上进料下出料工艺，罐内无须设置机械搅拌，工艺能耗少。能使1公斤干秸秆产出0.4立方米沼气，池容产气率可达2m³/（m³·d）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，原料利用率高。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  <w:t>（三）技术示范推广情况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低浓度粪水高效产沼气技术应用于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河北省安平县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eastAsia="zh-CN"/>
        </w:rPr>
        <w:t>年出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栏</w:t>
      </w:r>
      <w:r>
        <w:rPr>
          <w:rFonts w:hint="default" w:ascii="Times New Roman" w:hAnsi="Times New Roman" w:eastAsia="方正仿宋_GBK" w:cs="Times New Roman"/>
          <w:kern w:val="0"/>
          <w:sz w:val="30"/>
          <w:szCs w:val="30"/>
        </w:rPr>
        <w:t>20万头猪场粪污综合治理2MW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沼气发电工程项目, 该项目被农业部、财政部列入“畜禽粪污等农业农村废弃物综合利用试点项目”。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  <w:t>（四）提质增效情况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沼气发电工程。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年处理畜禽粪污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30万吨，年发电1512kWh，全部并入国家电网，实现发电收入1134万元。解决了年存栏10万头猪场粪污资源化利用问题。年可减少CO</w:t>
      </w:r>
      <w:r>
        <w:rPr>
          <w:rFonts w:hint="default" w:ascii="Times New Roman" w:hAnsi="Times New Roman" w:eastAsia="方正仿宋_GBK" w:cs="Times New Roman"/>
          <w:sz w:val="30"/>
          <w:szCs w:val="30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排放10.8万吨；沼气发电剩余沼液沼渣做为基质，可制备多种配方有机肥料，根据不同季节，不同植物，不同生长期进行肥料调整，形成多样性多元化多用途功能肥料，投资2000万元建设的养农有机肥厂投产运行，年产生物有机肥固肥5万吨，液体肥20万吨，年有机肥销售收入1300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0"/>
          <w:szCs w:val="30"/>
        </w:rPr>
        <w:t>提纯生物天然气项目。建设厌氧发酵罐</w:t>
      </w:r>
      <w:r>
        <w:rPr>
          <w:rFonts w:hint="default" w:ascii="Times New Roman" w:hAnsi="Times New Roman" w:eastAsia="方正仿宋_GBK" w:cs="Times New Roman"/>
          <w:b w:val="0"/>
          <w:bCs/>
          <w:sz w:val="30"/>
          <w:szCs w:val="30"/>
        </w:rPr>
        <w:t>6座，共30000 m</w:t>
      </w:r>
      <w:r>
        <w:rPr>
          <w:rFonts w:hint="default" w:ascii="Times New Roman" w:hAnsi="Times New Roman" w:eastAsia="方正仿宋_GBK" w:cs="Times New Roman"/>
          <w:b w:val="0"/>
          <w:bCs/>
          <w:sz w:val="30"/>
          <w:szCs w:val="30"/>
          <w:vertAlign w:val="superscript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z w:val="30"/>
          <w:szCs w:val="30"/>
        </w:rPr>
        <w:t>，通过利用畜禽粪污和秸秆进行混合厌氧发酵，生产沼气提纯成生物天然气，可实现秸秆和畜禽粪便综合治理利用。该项目配套建设青储50000m</w:t>
      </w:r>
      <w:r>
        <w:rPr>
          <w:rFonts w:hint="default" w:ascii="Times New Roman" w:hAnsi="Times New Roman" w:eastAsia="方正仿宋_GBK" w:cs="Times New Roman"/>
          <w:b w:val="0"/>
          <w:bCs/>
          <w:sz w:val="30"/>
          <w:szCs w:val="30"/>
          <w:vertAlign w:val="superscript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z w:val="30"/>
          <w:szCs w:val="30"/>
        </w:rPr>
        <w:t>，年可消纳玉米秸秆7万吨，可处理畜禽粪污10万吨，年可生产沼气1152万立方米，提纯生物天然气6360000 m</w:t>
      </w:r>
      <w:r>
        <w:rPr>
          <w:rFonts w:hint="default" w:ascii="Times New Roman" w:hAnsi="Times New Roman" w:eastAsia="方正仿宋_GBK" w:cs="Times New Roman"/>
          <w:b w:val="0"/>
          <w:bCs/>
          <w:sz w:val="30"/>
          <w:szCs w:val="30"/>
          <w:vertAlign w:val="superscript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z w:val="30"/>
          <w:szCs w:val="30"/>
        </w:rPr>
        <w:t>，铺设中低压输气管网182KM，可供周边8595户居民取暖和炊用，即可覆盖供气范围内所有工商业用户。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b w:val="0"/>
          <w:bCs/>
          <w:sz w:val="30"/>
          <w:szCs w:val="30"/>
        </w:rPr>
        <w:t>生物质热电联产项目。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项目于2016年8月开工建设，2017年8月份投产运行，年可发电2.4亿度，供热55万吉焦，年耗秸秆约28万吨，年替代标煤10万吨/年，全年可减少CO</w:t>
      </w:r>
      <w:r>
        <w:rPr>
          <w:rFonts w:hint="default" w:ascii="Times New Roman" w:hAnsi="Times New Roman" w:eastAsia="方正仿宋_GBK" w:cs="Times New Roman"/>
          <w:sz w:val="30"/>
          <w:szCs w:val="30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排放约26万吨。生物质直燃发电厂以废弃秸杆、废弃果树枝等为原料，实现发电并网，余热供应县城居民供热，已取得政府特许经营许可，供应面积为130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万平方米，发电产生的草木灰，应用有有机肥厂生产生物有机肥。项目持续盈利。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  <w:t>（五）技术获奖情况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低浓度粪水高效产沼气技术。应用于大型养殖场粪污治理工程，该项目获得了国家科技进步奖三等奖。随着热电气肥联产生态循环模式的实施推广，粪污将得到有效治理，畜禽场周围的环境卫生将因此得到很大程度的提高，农村环境得到改善,减轻雾霾污染。通过沼气发电厂的运行，将可靠先进的高效厌氧沼气发电和余热回收技术，广泛应用于农业废弃物资源化利用项目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二、技术要点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  <w:t>（一）打造政府支持体系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当地政府给予粪污收集中心一定的收储运补贴。一是通过农业园区建设打通粪污资源化利用通道。二是环保倒逼生物天然气入户机制。结合政府“蓝天行动”，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第三方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公司在安平镇、两洼乡两个乡镇实施“煤改气”项目，并通过补贴农户初装费及壁挂炉、灶具购置费，促进天然气入户。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  <w:t>（二）创新运营模式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通过沼气发电项目、沼渣、沼液生产生物有机肥项目、生物天然气项目及生物质热电联产项目，对京安养殖场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安平县域内畜禽粪污、废弃秸秆等农牧业废弃物进行综合治理，全量化利用，整县推进，通过发酵制沼、沼气发电，生物质直燃发电，城市集中供热，产生绿色电能、余热回收利用，沼渣沼液及草木灰生产有机肥等产业。沼液通过水肥一体化、喷灌、滴灌等农田水利工程施用于农业种植，在安平县内及周边建设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98座液肥加液站（图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），覆盖11.2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万亩作物；沼渣肥通过大户使用、协议利用机制实现还田；高端沼液肥通过定制开发，实现定向销售。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5715</wp:posOffset>
            </wp:positionV>
            <wp:extent cx="4904740" cy="3230880"/>
            <wp:effectExtent l="0" t="0" r="10160" b="762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474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图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液肥加液站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  <w:t>（三）建立利益联结机制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通过承担安平县畜禽粪污资源化利用试点项目，开创粪污以质定价的先河，粪污集中处理中心采用粪污分级定价收集模式，粪污浓度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（即含固率TS），干清粪需要保证在20%以上，水泡粪保证在3-8%。粪污浓度大于8%，公司按10-50元/T收购；粪污浓度小于3%，养殖场支付20元/T的处理费；粪污浓度3-8%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，免费收集。最后交由粪污处理中心处理。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秸秆回收建立秸秆收储运专业队伍，打通经纪人、秸秆收储队伍、农机合作社、秸秆综合利用企业的利益联结机制，实现多方共赢。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  <w:t>（四）成熟技术工艺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-203200</wp:posOffset>
            </wp:positionV>
            <wp:extent cx="4723130" cy="2568575"/>
            <wp:effectExtent l="0" t="0" r="1270" b="317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13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图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工艺流程图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left="30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189230</wp:posOffset>
            </wp:positionV>
            <wp:extent cx="5274310" cy="2844165"/>
            <wp:effectExtent l="0" t="0" r="8890" b="63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图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循环模式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该模式以京安养殖场及安平县域内畜禽粪污、废弃秸秆等农牧业废弃物为原料，通过厌氧发酵制沼气、沼气发电，产生绿色电能，余热回收利用，沼渣沼液生产有机肥，沼气提纯生物天然气，生物天然气供应农村清洁能源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（图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。形成了完整“气、电、热、肥”联产生态循环京安模式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（图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</w:rPr>
        <w:t>（五）利用模式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该模式现已初步形成了两种可复制可推广的技术路线：一是畜禽养殖废弃物资源化利用。在全国大力推行粪污制沼的环境下，研发总结低浓度有机废水高效厌氧发酵制取沼气以及其他涉及生产、维护、肥料制作的专利技术十余项，解决了沼气生产波动大的难题，实现了全天候持续稳定产气，成为河北省率先利用畜禽粪污发电并网的沼气发电企业。二是提纯生物天然气项目，通过畜禽粪污和青储秸秆混合发酵产生沼气，提纯生物天然气。实现了沼气发电、沼气入户、沼渣、沼液生产有机肥等多元化利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结合“气代煤”项目，供应安平县城关镇、两洼乡共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23个村，8595户居民炊用、取暖用气，以及所属范围内工商业用户、教育园区供应生物天然气，供应生物天然气价格，居民气价为2.5元/立方米，非居民气价夏季2.95元/立方米，冬季3.5元/立方米。提纯后的生物天然气通过CNG加气站供应车用。于2018年10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月取得了河北省住房和城乡建设厅颁发的《燃气经营许可证》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三、适宜推广区域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该模式适宜农作物秸秆资源丰富地区、养殖发达地区，比如河北省、山东省、河南省等。生物燃气生态循环农业模式的推广区域应符合当地规划和行业布局，还应考虑地域资源、区域地质、交通运输和环境保护等要素。中心纽带生物然气工程选址，要考虑原料运输半径及运输成本。最好靠近大型养殖企业。适宜农作物大面积种植区域，秸秆禁烧压力大，秸秆综合利用途径缺少地区。沼肥储存池修建靠近农田浇灌施用地附近，以利于沼肥就地使用。粪污收集要专用密封车辆，防止撒漏、臭味以及病原体交叉传染，满足生产防疫的要求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8" w:lineRule="exact"/>
        <w:ind w:firstLine="60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“气电热肥”联产生物质能近零碳利用模式，需要建立在近养殖场</w:t>
      </w:r>
      <w:r>
        <w:rPr>
          <w:rFonts w:hint="default" w:ascii="Times New Roman" w:hAnsi="Times New Roman" w:eastAsia="方正仿宋_GBK" w:cs="Times New Roman"/>
          <w:kern w:val="0"/>
          <w:sz w:val="30"/>
          <w:szCs w:val="30"/>
        </w:rPr>
        <w:t>5公里范围内的乡镇，可有效利用管网收集养殖场粪便，减少原料运输成本。打通县域50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</w:rPr>
        <w:t>公里范围内农作物秸秆收储运用通道，建立收储运体系，政府支持，企业参与、经纪人主动的收储模式。</w:t>
      </w:r>
    </w:p>
    <w:sectPr>
      <w:footerReference r:id="rId3" w:type="default"/>
      <w:pgSz w:w="11906" w:h="16838"/>
      <w:pgMar w:top="1984" w:right="1616" w:bottom="1814" w:left="161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7E989B"/>
    <w:multiLevelType w:val="singleLevel"/>
    <w:tmpl w:val="C77E989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FF9"/>
    <w:rsid w:val="0002347C"/>
    <w:rsid w:val="000F3E29"/>
    <w:rsid w:val="00187E33"/>
    <w:rsid w:val="001D345C"/>
    <w:rsid w:val="002E116B"/>
    <w:rsid w:val="003049E3"/>
    <w:rsid w:val="003632F2"/>
    <w:rsid w:val="00375EE4"/>
    <w:rsid w:val="003804CE"/>
    <w:rsid w:val="003C48ED"/>
    <w:rsid w:val="00455FEA"/>
    <w:rsid w:val="004B4220"/>
    <w:rsid w:val="004F0982"/>
    <w:rsid w:val="00580C0B"/>
    <w:rsid w:val="005D2190"/>
    <w:rsid w:val="00643EDA"/>
    <w:rsid w:val="0066660F"/>
    <w:rsid w:val="006860B0"/>
    <w:rsid w:val="006D01BE"/>
    <w:rsid w:val="006D5AB0"/>
    <w:rsid w:val="007911F7"/>
    <w:rsid w:val="008D5ECF"/>
    <w:rsid w:val="00910A06"/>
    <w:rsid w:val="00915E56"/>
    <w:rsid w:val="00921674"/>
    <w:rsid w:val="00A57FF9"/>
    <w:rsid w:val="00A72E89"/>
    <w:rsid w:val="00AA37D3"/>
    <w:rsid w:val="00AA64E8"/>
    <w:rsid w:val="00AE66BE"/>
    <w:rsid w:val="00B03F8B"/>
    <w:rsid w:val="00B501F0"/>
    <w:rsid w:val="00B621A0"/>
    <w:rsid w:val="00BA18E8"/>
    <w:rsid w:val="00C04C47"/>
    <w:rsid w:val="00C37990"/>
    <w:rsid w:val="00C72A19"/>
    <w:rsid w:val="00C81637"/>
    <w:rsid w:val="00C84EF3"/>
    <w:rsid w:val="00CB433A"/>
    <w:rsid w:val="00CC2EFB"/>
    <w:rsid w:val="00D73153"/>
    <w:rsid w:val="00DA483D"/>
    <w:rsid w:val="00DD44A5"/>
    <w:rsid w:val="00E042EB"/>
    <w:rsid w:val="00E44671"/>
    <w:rsid w:val="00F70F88"/>
    <w:rsid w:val="00F85674"/>
    <w:rsid w:val="0D665932"/>
    <w:rsid w:val="1146787A"/>
    <w:rsid w:val="12D91F4D"/>
    <w:rsid w:val="1BA71CFA"/>
    <w:rsid w:val="21D554D6"/>
    <w:rsid w:val="23495F22"/>
    <w:rsid w:val="27BE3F4F"/>
    <w:rsid w:val="2DC03570"/>
    <w:rsid w:val="2FC22A91"/>
    <w:rsid w:val="320D3392"/>
    <w:rsid w:val="363D35C0"/>
    <w:rsid w:val="37E42BA6"/>
    <w:rsid w:val="3D00222C"/>
    <w:rsid w:val="40CB261B"/>
    <w:rsid w:val="46F665F7"/>
    <w:rsid w:val="4C545FA4"/>
    <w:rsid w:val="4E364DB8"/>
    <w:rsid w:val="52B919A9"/>
    <w:rsid w:val="544F1119"/>
    <w:rsid w:val="5B1277F1"/>
    <w:rsid w:val="5FFDFBDF"/>
    <w:rsid w:val="657B422C"/>
    <w:rsid w:val="6DCA6853"/>
    <w:rsid w:val="6FAB3502"/>
    <w:rsid w:val="6FFAB52C"/>
    <w:rsid w:val="77ADE463"/>
    <w:rsid w:val="77DC422B"/>
    <w:rsid w:val="78472FC9"/>
    <w:rsid w:val="7A546E28"/>
    <w:rsid w:val="7C7E3309"/>
    <w:rsid w:val="DFFFC309"/>
    <w:rsid w:val="E3356898"/>
    <w:rsid w:val="EF7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8"/>
    <w:link w:val="3"/>
    <w:qFormat/>
    <w:uiPriority w:val="0"/>
    <w:rPr>
      <w:kern w:val="2"/>
      <w:sz w:val="21"/>
      <w:szCs w:val="22"/>
    </w:rPr>
  </w:style>
  <w:style w:type="character" w:customStyle="1" w:styleId="16">
    <w:name w:val="批注主题 字符"/>
    <w:basedOn w:val="15"/>
    <w:link w:val="2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9</Pages>
  <Words>517</Words>
  <Characters>2951</Characters>
  <Lines>24</Lines>
  <Paragraphs>6</Paragraphs>
  <TotalTime>1</TotalTime>
  <ScaleCrop>false</ScaleCrop>
  <LinksUpToDate>false</LinksUpToDate>
  <CharactersWithSpaces>3462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2020-03-05T01:01:00Z</dcterms:created>
  <dc:creator>Administrator</dc:creator>
  <cp:lastModifiedBy>王健</cp:lastModifiedBy>
  <cp:lastPrinted>2020-06-19T22:14:00Z</cp:lastPrinted>
  <dcterms:modified xsi:type="dcterms:W3CDTF">2020-06-26T15:01:17Z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